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E023" w14:textId="42E81A0A" w:rsidR="00D93800" w:rsidRPr="00D93800" w:rsidRDefault="00CA418A" w:rsidP="00D93800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</w:rPr>
      </w:pPr>
      <w:r w:rsidRPr="00FE5925">
        <w:rPr>
          <w:rFonts w:ascii="Helvetica" w:eastAsia="Times New Roman" w:hAnsi="Helvetica" w:cs="Helvetica"/>
          <w:b/>
          <w:bCs/>
          <w:color w:val="000000" w:themeColor="text1"/>
          <w:kern w:val="36"/>
          <w:sz w:val="24"/>
          <w:szCs w:val="24"/>
        </w:rPr>
        <w:t>Warranty Services Specialist (Investigator)</w:t>
      </w:r>
    </w:p>
    <w:p w14:paraId="146635E8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</w:pPr>
      <w:r w:rsidRPr="00D93800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Overview</w:t>
      </w:r>
    </w:p>
    <w:p w14:paraId="3B73ED1A" w14:textId="58D09777" w:rsidR="00FE5925" w:rsidRPr="00FE5925" w:rsidRDefault="00CA418A" w:rsidP="00CA418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>The 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Warranty Service Specialist (</w:t>
      </w:r>
      <w:r w:rsid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also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know</w:t>
      </w:r>
      <w:r w:rsid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n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as an 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Investigator)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is responsible for protecting the interests of 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Holcim Building Envelope division (formerly 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>Firestone Building Products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)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by handling roofing claims. The Specialist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/Investigator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will receive, analyze, and make determinations on claims by reviewing data from contractors, sales reps, field tech reps, and personal site investigations. The Specialist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/Investigator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will be responsible for 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investigating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the claim, developing the 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Holcim Building Envelope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position, determining necessary repairs, communicating to all relevant parties, and negotiating to resolve the claim. In reaching resolution, the Specialist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/Investigator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>may be responsible for receiving repair quotes, identifying a repair contactor, ordering/shipping materials, reviewing work, and processing contractor invoices.</w:t>
      </w:r>
    </w:p>
    <w:p w14:paraId="37C9A4DF" w14:textId="2388355D" w:rsidR="00CA418A" w:rsidRPr="00CA418A" w:rsidRDefault="00CA418A" w:rsidP="00CA418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>   </w:t>
      </w:r>
    </w:p>
    <w:p w14:paraId="4DC6C7FE" w14:textId="2EBC2DBC" w:rsidR="00CA418A" w:rsidRPr="00FE5925" w:rsidRDefault="00CA418A" w:rsidP="00CA418A">
      <w:pPr>
        <w:spacing w:after="0" w:line="240" w:lineRule="auto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</w:pP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***This Investigator position is for our 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North Mid-Atlantic </w:t>
      </w:r>
      <w:r w:rsidRPr="00CA418A">
        <w:rPr>
          <w:rFonts w:ascii="Helvetica" w:eastAsia="Times New Roman" w:hAnsi="Helvetica" w:cs="Helvetica"/>
          <w:color w:val="000000" w:themeColor="text1"/>
          <w:sz w:val="24"/>
          <w:szCs w:val="24"/>
        </w:rPr>
        <w:t>region (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Illinois, Michigan, Ohio,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Pennsylvania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).</w:t>
      </w:r>
    </w:p>
    <w:p w14:paraId="04335387" w14:textId="77777777" w:rsidR="00FE5925" w:rsidRPr="00CA418A" w:rsidRDefault="00FE5925" w:rsidP="00CA418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</w:p>
    <w:p w14:paraId="5DF331F7" w14:textId="5E32B9B2" w:rsidR="00CA418A" w:rsidRPr="00CA418A" w:rsidRDefault="00CA418A" w:rsidP="00CA418A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***This is position is remote work eligible</w:t>
      </w:r>
      <w:r w:rsidR="00FE5925"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, but the candidate </w:t>
      </w:r>
      <w:r w:rsidR="00FE5925"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must live within the region of the territory (Illinois, Michigan, Ohio, Pennsylvania</w:t>
      </w:r>
      <w:r w:rsidR="00FE5925"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), as well as must show high level of knowledge and ability to work </w:t>
      </w:r>
      <w:proofErr w:type="gramStart"/>
      <w:r w:rsidR="00FE5925"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independently</w:t>
      </w:r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.*</w:t>
      </w:r>
      <w:proofErr w:type="gramEnd"/>
      <w:r w:rsidRPr="00CA41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**</w:t>
      </w:r>
    </w:p>
    <w:p w14:paraId="6A8B1B42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</w:pPr>
      <w:r w:rsidRPr="00D93800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Responsibilities</w:t>
      </w:r>
    </w:p>
    <w:p w14:paraId="12343C5D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Reviews necessary field work with and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assigns projects to Field Technical Representatives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based on complexity of issues and geographic proximity of trips.</w:t>
      </w:r>
    </w:p>
    <w:p w14:paraId="78FC7E2B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Acts as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in-house technical services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source for phone in questions by field people as they arise</w:t>
      </w:r>
    </w:p>
    <w:p w14:paraId="09813548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Reviews written specifications and recommendations for completeness, clarity, and cost effectiveness.</w:t>
      </w:r>
    </w:p>
    <w:p w14:paraId="3CE5AFCC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Follow-up and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communicate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positions to all parties, as well as provide issuance of PO and Materials as needed to contractors providing warranty repair services.</w:t>
      </w:r>
    </w:p>
    <w:p w14:paraId="5295F821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Travel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 the field and perform investigations and handle claims throughout as needed, with a focus on large dollar claims.</w:t>
      </w:r>
    </w:p>
    <w:p w14:paraId="5E5CEDB7" w14:textId="77777777" w:rsidR="00FE5925" w:rsidRPr="00FE5925" w:rsidRDefault="00FE5925" w:rsidP="00FE5925">
      <w:pPr>
        <w:numPr>
          <w:ilvl w:val="1"/>
          <w:numId w:val="17"/>
        </w:numPr>
        <w:spacing w:after="0" w:line="240" w:lineRule="auto"/>
        <w:ind w:left="216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(While </w:t>
      </w:r>
      <w:proofErr w:type="gramStart"/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the overwhelming majority of</w:t>
      </w:r>
      <w:proofErr w:type="gramEnd"/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this position is based out of an office (corporate or home), there is roughly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5-10% in-field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aspect to complete roof/damage inspections. </w:t>
      </w:r>
    </w:p>
    <w:p w14:paraId="2E187C9E" w14:textId="77777777" w:rsidR="00FE5925" w:rsidRPr="00FE5925" w:rsidRDefault="00FE5925" w:rsidP="00FE5925">
      <w:pPr>
        <w:numPr>
          <w:ilvl w:val="2"/>
          <w:numId w:val="17"/>
        </w:numPr>
        <w:spacing w:after="0" w:line="240" w:lineRule="auto"/>
        <w:ind w:left="324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This travel works out to about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2-5 days/nights travel every 4-6 weeks.</w:t>
      </w:r>
    </w:p>
    <w:p w14:paraId="7C718BE4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Develop and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negotiate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the claim position with all relevant parties and attend meetings when necessary.</w:t>
      </w:r>
    </w:p>
    <w:p w14:paraId="2B10A982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On -Site Inspection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: In-depth inspection and analysis of roof system exhibiting problems requires extensive knowledge of all construction practices as they relate to Firestone roof systems and watertight integrity of the roof.</w:t>
      </w:r>
    </w:p>
    <w:p w14:paraId="3943A77C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lastRenderedPageBreak/>
        <w:t xml:space="preserve">Quick and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thorough completion of all paperwork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including photographs related to each claim to properly document Firestone position for presentation and future reference including possible litigation.</w:t>
      </w:r>
    </w:p>
    <w:p w14:paraId="737D0FEB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Preparation of clear, concise, and in-depth repair specifications which summarize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roof-top analysis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into cost effective, workable solutions to problem.</w:t>
      </w:r>
    </w:p>
    <w:p w14:paraId="1FD89C57" w14:textId="77777777" w:rsidR="00FE5925" w:rsidRPr="00FE5925" w:rsidRDefault="00FE5925" w:rsidP="00FE5925">
      <w:pPr>
        <w:numPr>
          <w:ilvl w:val="0"/>
          <w:numId w:val="17"/>
        </w:numPr>
        <w:spacing w:after="0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Excellent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verbal and written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communication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skills required for communication to building owners, roofing contractors, sales reps, building consultants, and lawyers on intricate, complicated problems and issues.</w:t>
      </w:r>
    </w:p>
    <w:p w14:paraId="53F273B8" w14:textId="77777777" w:rsidR="00FE5925" w:rsidRPr="00FE5925" w:rsidRDefault="00FE5925" w:rsidP="00FE5925">
      <w:pPr>
        <w:numPr>
          <w:ilvl w:val="0"/>
          <w:numId w:val="17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Excellent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project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management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skills to handle a busy and diverse docket with efficiency and timeliness.</w:t>
      </w:r>
    </w:p>
    <w:p w14:paraId="174E49F0" w14:textId="77777777" w:rsidR="00FE5925" w:rsidRPr="00FE5925" w:rsidRDefault="00FE5925" w:rsidP="00FE5925">
      <w:pPr>
        <w:numPr>
          <w:ilvl w:val="0"/>
          <w:numId w:val="17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Keep the Warranty Services Supervisor and Director of Warranty Services informed of relevant claims and issues that may affect the company.</w:t>
      </w:r>
    </w:p>
    <w:p w14:paraId="31774BD6" w14:textId="77777777" w:rsidR="00FE5925" w:rsidRPr="00FE5925" w:rsidRDefault="00FE5925" w:rsidP="00FE5925">
      <w:pPr>
        <w:numPr>
          <w:ilvl w:val="0"/>
          <w:numId w:val="17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Interfacing with the law department to support claims that are approaching or have entered litigation.</w:t>
      </w:r>
    </w:p>
    <w:p w14:paraId="346420CF" w14:textId="77777777" w:rsidR="00D93800" w:rsidRPr="00D93800" w:rsidRDefault="00D93800" w:rsidP="00D93800">
      <w:pPr>
        <w:shd w:val="clear" w:color="auto" w:fill="FFFFFF"/>
        <w:spacing w:before="300" w:after="135" w:line="240" w:lineRule="auto"/>
        <w:outlineLvl w:val="1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</w:pPr>
      <w:r w:rsidRPr="00D93800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Qualifications</w:t>
      </w:r>
    </w:p>
    <w:p w14:paraId="6CCA4660" w14:textId="77777777" w:rsidR="00FE5925" w:rsidRPr="00FE5925" w:rsidRDefault="00FE5925" w:rsidP="00FE5925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What you will need to be successful for this position:</w:t>
      </w:r>
    </w:p>
    <w:p w14:paraId="26FAC3AB" w14:textId="77777777" w:rsidR="00FE5925" w:rsidRPr="00FE5925" w:rsidRDefault="00FE5925" w:rsidP="00FE59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A four-year degree and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roofing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industry </w:t>
      </w:r>
      <w:proofErr w:type="gramStart"/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experience;</w:t>
      </w:r>
      <w:proofErr w:type="gramEnd"/>
    </w:p>
    <w:p w14:paraId="7D313515" w14:textId="77777777" w:rsidR="00FE5925" w:rsidRPr="00FE5925" w:rsidRDefault="00FE5925" w:rsidP="00FE5925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                     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OR</w:t>
      </w:r>
    </w:p>
    <w:p w14:paraId="63CE6F25" w14:textId="77777777" w:rsidR="00FE5925" w:rsidRPr="00FE5925" w:rsidRDefault="00FE5925" w:rsidP="00FE59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Five+ years of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progressive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 xml:space="preserve">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roofing</w:t>
      </w:r>
      <w:r w:rsidRPr="00FE5925">
        <w:rPr>
          <w:rFonts w:ascii="Helvetica" w:eastAsia="Times New Roman" w:hAnsi="Helvetica" w:cs="Helvetica"/>
          <w:color w:val="000000" w:themeColor="text1"/>
          <w:sz w:val="24"/>
          <w:szCs w:val="24"/>
        </w:rPr>
        <w:t>/construction experience.</w:t>
      </w:r>
    </w:p>
    <w:p w14:paraId="018ADCD9" w14:textId="410F9622" w:rsidR="00FE5925" w:rsidRPr="00FE5925" w:rsidRDefault="00FE5925" w:rsidP="00FE5925">
      <w:pPr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***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Remote c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andidate must live within the region of the territory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(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 xml:space="preserve">Illinois, Michigan, Ohio, 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Pennsylvania), or otherwise candidate must be willing to live in the Nashville, TN area (corporate headquarters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)</w:t>
      </w:r>
      <w:r w:rsidRPr="00FE5925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</w:rPr>
        <w:t>.</w:t>
      </w:r>
    </w:p>
    <w:p w14:paraId="1F52EF3F" w14:textId="46CE20B9" w:rsidR="00A06507" w:rsidRPr="00EC74FE" w:rsidRDefault="00A06507" w:rsidP="00FE5925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sectPr w:rsidR="00A06507" w:rsidRPr="00EC7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085"/>
    <w:multiLevelType w:val="multilevel"/>
    <w:tmpl w:val="C43E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52EA8"/>
    <w:multiLevelType w:val="multilevel"/>
    <w:tmpl w:val="33C2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184E"/>
    <w:multiLevelType w:val="multilevel"/>
    <w:tmpl w:val="260A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6643"/>
    <w:multiLevelType w:val="multilevel"/>
    <w:tmpl w:val="D82E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E43E1"/>
    <w:multiLevelType w:val="multilevel"/>
    <w:tmpl w:val="906A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C200F"/>
    <w:multiLevelType w:val="multilevel"/>
    <w:tmpl w:val="41BC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C62EC"/>
    <w:multiLevelType w:val="multilevel"/>
    <w:tmpl w:val="7DB6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943BF"/>
    <w:multiLevelType w:val="multilevel"/>
    <w:tmpl w:val="6DF260D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B0AF4"/>
    <w:multiLevelType w:val="multilevel"/>
    <w:tmpl w:val="B3F2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B02EE"/>
    <w:multiLevelType w:val="multilevel"/>
    <w:tmpl w:val="207A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B2893"/>
    <w:multiLevelType w:val="multilevel"/>
    <w:tmpl w:val="822C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F70F1"/>
    <w:multiLevelType w:val="multilevel"/>
    <w:tmpl w:val="5C0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94154"/>
    <w:multiLevelType w:val="multilevel"/>
    <w:tmpl w:val="103E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93E97"/>
    <w:multiLevelType w:val="multilevel"/>
    <w:tmpl w:val="D76E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797F70"/>
    <w:multiLevelType w:val="multilevel"/>
    <w:tmpl w:val="6DA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686E07"/>
    <w:multiLevelType w:val="multilevel"/>
    <w:tmpl w:val="910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777A6"/>
    <w:multiLevelType w:val="multilevel"/>
    <w:tmpl w:val="D64A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D84B18"/>
    <w:multiLevelType w:val="multilevel"/>
    <w:tmpl w:val="2342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9851DB"/>
    <w:multiLevelType w:val="hybridMultilevel"/>
    <w:tmpl w:val="A8A6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0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18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0"/>
    <w:rsid w:val="003D34B1"/>
    <w:rsid w:val="005C780A"/>
    <w:rsid w:val="00A06507"/>
    <w:rsid w:val="00CA418A"/>
    <w:rsid w:val="00D93800"/>
    <w:rsid w:val="00EB033D"/>
    <w:rsid w:val="00EC74FE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B9AB"/>
  <w15:chartTrackingRefBased/>
  <w15:docId w15:val="{3A8B2BB6-8FD8-4B3B-9CF9-4AD1163D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3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8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38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r-only">
    <w:name w:val="sr-only"/>
    <w:basedOn w:val="DefaultParagraphFont"/>
    <w:rsid w:val="00D93800"/>
  </w:style>
  <w:style w:type="paragraph" w:styleId="NormalWeb">
    <w:name w:val="Normal (Web)"/>
    <w:basedOn w:val="Normal"/>
    <w:uiPriority w:val="99"/>
    <w:semiHidden/>
    <w:unhideWhenUsed/>
    <w:rsid w:val="00D9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780A"/>
    <w:rPr>
      <w:b/>
      <w:bCs/>
    </w:rPr>
  </w:style>
  <w:style w:type="paragraph" w:styleId="ListParagraph">
    <w:name w:val="List Paragraph"/>
    <w:basedOn w:val="Normal"/>
    <w:uiPriority w:val="34"/>
    <w:qFormat/>
    <w:rsid w:val="00EC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42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87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9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57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0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Walker</dc:creator>
  <cp:keywords/>
  <dc:description/>
  <cp:lastModifiedBy>Charles Walker</cp:lastModifiedBy>
  <cp:revision>2</cp:revision>
  <dcterms:created xsi:type="dcterms:W3CDTF">2022-09-01T15:53:00Z</dcterms:created>
  <dcterms:modified xsi:type="dcterms:W3CDTF">2022-09-01T15:53:00Z</dcterms:modified>
</cp:coreProperties>
</file>